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Projet “Éducation à Voix Haute” : Le comité régional du RIP-EPT de Gagnoa mobilisé pour améliorer le système scolaire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Dans le cadre du projet "Éducation à Voix Haute", soutenu par le Partenariat Mondial pour l'Éducation (PME) et géré par l'ONG OXFAM-DANEMARK, le comité régional du RIP-EPT de Gagnoa a entrepris une série d'activités de suivi du Plan Sectoriel de l'Éducation (PSE) 2016-2025 au cours de l'année 2024. Cette initiative vise à renforcer l’éducation et à répondre aux défis persistants rencontrés par le système éducatif.</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Centrées sur neuf thématiques clés, allant de la distribution de kits scolaires et de tables-bancs à l’amélioration des infrastructures scolaires, en passant par le fonctionnement des centres d’alphabétisation, l’inscription au CP1, la gestion des ressources humaines, ainsi que la lutte contre les redoublements, les exclusions et les abandons scolaires, et l'insertion des sortants de l’ETFPA, ces activités, organisées le jeudi 8 août 2024, à la salle de mariage de Gagnoa, visent à maximiser l’impact de leurs travaux à travers une cérémonie de restitution et de plaidoyer destinée aux autorités administratives et politiques.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“L’objectif est de partager les recommandations formulées à partir du suivi des indicateurs, promouvant ainsi un dialogue constructif autour des enjeux éducatifs régionaux”, a déclaré Ziao Sogba, président du Comité régional de Gagnoa. Poursuivant, il a souligné que la restitution du rapport régional a été l’occasion d’interpeller directement des figures clés présentes à cette cérémonie, telles que le Sous-Préfet central de Gagnoa, le 2ème adjoint au Maire de Gagnoa, la Secrétaire Générale de la DRENA de Gagnoa et d'autres décideurs.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“En les sensibilisant aux avantages que pourrait leur apporter la prise en compte des propositions, nous espérons susciter un engagement fort en faveur d’une amélioration durable du système éducatif”, a ajouté le président du Comité régional.</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Ce travail, selon Soumahoro Moussa, Sous-Préfet central de Gagnoa, vise non seulement à renforcer la visibilité des problématiques éducatives, mais également à poser les bases d’un partenariat solide entre les acteurs locaux et les responsables politiques, afin de garantir un avenir éducatif plus inclusif et équitable pour toutes les populations.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“Nous avons pris note de cette restitution et nous pensons que c’est maintenant à nous de veiller à ce que notre école soit de qualité”, a indiqué Soumahoro Moussa.</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Ainsi, grâce à l'initiative "Éducation à Voix Haute", le Comité Régional de Gagnoa se positionne comme un véritable acteur du changement, déterminé à mettre l'éducation au cœur des préoccupations des autorités locales et à défendre les droits de chaque enfant, sans exception.</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